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2CB67">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湖北长资咨询服务有限公司</w:t>
      </w:r>
    </w:p>
    <w:p w14:paraId="4C40CF4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债权转让公告</w:t>
      </w:r>
    </w:p>
    <w:p w14:paraId="2A6AAE79">
      <w:pPr>
        <w:ind w:firstLine="640" w:firstLineChars="200"/>
        <w:jc w:val="both"/>
        <w:rPr>
          <w:rFonts w:hint="eastAsia" w:ascii="仿宋_GB2312" w:hAnsi="仿宋_GB2312" w:eastAsia="仿宋_GB2312" w:cs="仿宋_GB2312"/>
          <w:sz w:val="32"/>
          <w:szCs w:val="32"/>
          <w:lang w:val="en-US" w:eastAsia="zh-CN"/>
        </w:rPr>
      </w:pPr>
    </w:p>
    <w:p w14:paraId="229D634B">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湖北长资咨询服务有限公司（原名为：湖北省宏泰建材装备有限公司）和湖北易站通达电子科技有限公司签订的债权转让合同，湖北长资咨询服务有限公司已于2024年7月19日将合法享有的下列债务人的债权依法转让给湖北易站通达电子科技有限公司。</w:t>
      </w:r>
    </w:p>
    <w:p w14:paraId="19580721">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请债务人自本公告起向湖北易站通达电子科技有限公司履行还款义务。若债务人因各种原因发生更名、改制、歇业、吊销营业执照丧失民事主体资格等情形的，请相关承债主体代为履行义务。</w:t>
      </w:r>
    </w:p>
    <w:p w14:paraId="4A022152">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14:paraId="6E7225A1">
      <w:pPr>
        <w:ind w:firstLine="640" w:firstLineChars="200"/>
        <w:jc w:val="both"/>
        <w:rPr>
          <w:rFonts w:hint="eastAsia" w:ascii="仿宋_GB2312" w:hAnsi="仿宋_GB2312" w:eastAsia="仿宋_GB2312" w:cs="仿宋_GB2312"/>
          <w:sz w:val="32"/>
          <w:szCs w:val="32"/>
          <w:lang w:val="en-US" w:eastAsia="zh-CN"/>
        </w:rPr>
      </w:pPr>
    </w:p>
    <w:p w14:paraId="7443DD24">
      <w:pPr>
        <w:jc w:val="both"/>
        <w:rPr>
          <w:rFonts w:hint="eastAsia" w:ascii="仿宋_GB2312" w:hAnsi="仿宋_GB2312" w:eastAsia="仿宋_GB2312" w:cs="仿宋_GB2312"/>
          <w:sz w:val="32"/>
          <w:szCs w:val="32"/>
          <w:lang w:val="en-US" w:eastAsia="zh-CN"/>
        </w:rPr>
      </w:pPr>
    </w:p>
    <w:p w14:paraId="1CCEB8A9">
      <w:pPr>
        <w:jc w:val="both"/>
        <w:rPr>
          <w:rFonts w:hint="eastAsia" w:ascii="仿宋_GB2312" w:hAnsi="仿宋_GB2312" w:eastAsia="仿宋_GB2312" w:cs="仿宋_GB2312"/>
          <w:sz w:val="32"/>
          <w:szCs w:val="32"/>
          <w:lang w:val="en-US" w:eastAsia="zh-CN"/>
        </w:rPr>
      </w:pPr>
      <w:bookmarkStart w:id="0" w:name="_GoBack"/>
      <w:bookmarkEnd w:id="0"/>
    </w:p>
    <w:p w14:paraId="4E4396A7">
      <w:pPr>
        <w:ind w:firstLine="4160" w:firstLineChars="1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湖北长资咨询服务有限公司</w:t>
      </w:r>
    </w:p>
    <w:p w14:paraId="145B7314">
      <w:pPr>
        <w:ind w:firstLine="4800" w:firstLineChars="1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2024年7月24日</w:t>
      </w:r>
    </w:p>
    <w:p w14:paraId="7D436D17">
      <w:pPr>
        <w:ind w:firstLine="4800" w:firstLineChars="1500"/>
        <w:jc w:val="both"/>
        <w:rPr>
          <w:rFonts w:hint="eastAsia" w:ascii="仿宋_GB2312" w:hAnsi="仿宋_GB2312" w:eastAsia="仿宋_GB2312" w:cs="仿宋_GB2312"/>
          <w:sz w:val="32"/>
          <w:szCs w:val="32"/>
          <w:lang w:val="en-US" w:eastAsia="zh-CN"/>
        </w:rPr>
      </w:pPr>
    </w:p>
    <w:p w14:paraId="791CB8F1">
      <w:pPr>
        <w:ind w:firstLine="4800" w:firstLineChars="1500"/>
        <w:jc w:val="both"/>
        <w:rPr>
          <w:rFonts w:hint="eastAsia" w:ascii="仿宋_GB2312" w:hAnsi="仿宋_GB2312" w:eastAsia="仿宋_GB2312" w:cs="仿宋_GB2312"/>
          <w:sz w:val="32"/>
          <w:szCs w:val="32"/>
          <w:lang w:val="en-US" w:eastAsia="zh-CN"/>
        </w:rPr>
      </w:pPr>
    </w:p>
    <w:p w14:paraId="4D2AD01E">
      <w:pPr>
        <w:ind w:firstLine="4800" w:firstLineChars="1500"/>
        <w:jc w:val="both"/>
        <w:rPr>
          <w:rFonts w:hint="eastAsia" w:ascii="仿宋_GB2312" w:hAnsi="仿宋_GB2312" w:eastAsia="仿宋_GB2312" w:cs="仿宋_GB2312"/>
          <w:sz w:val="32"/>
          <w:szCs w:val="32"/>
          <w:lang w:val="en-US" w:eastAsia="zh-CN"/>
        </w:rPr>
      </w:pPr>
    </w:p>
    <w:p w14:paraId="4499CF7D">
      <w:pPr>
        <w:ind w:firstLine="4800" w:firstLineChars="1500"/>
        <w:jc w:val="both"/>
        <w:rPr>
          <w:rFonts w:hint="eastAsia" w:ascii="仿宋_GB2312" w:hAnsi="仿宋_GB2312" w:eastAsia="仿宋_GB2312" w:cs="仿宋_GB2312"/>
          <w:sz w:val="32"/>
          <w:szCs w:val="32"/>
          <w:lang w:val="en-US" w:eastAsia="zh-CN"/>
        </w:rPr>
      </w:pPr>
    </w:p>
    <w:p w14:paraId="477B0336">
      <w:pPr>
        <w:ind w:firstLine="4800" w:firstLineChars="1500"/>
        <w:jc w:val="both"/>
        <w:rPr>
          <w:rFonts w:hint="eastAsia" w:ascii="方正仿宋_GB2312" w:hAnsi="方正仿宋_GB2312" w:eastAsia="方正仿宋_GB2312" w:cs="方正仿宋_GB2312"/>
          <w:sz w:val="32"/>
          <w:szCs w:val="32"/>
          <w:lang w:val="en-US" w:eastAsia="zh-CN"/>
        </w:rPr>
      </w:pPr>
    </w:p>
    <w:p w14:paraId="541B0FED">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tbl>
      <w:tblPr>
        <w:tblStyle w:val="2"/>
        <w:tblW w:w="7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2370"/>
        <w:gridCol w:w="3966"/>
      </w:tblGrid>
      <w:tr w14:paraId="7A23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3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C40D">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32"/>
                <w:szCs w:val="32"/>
                <w:u w:val="none"/>
              </w:rPr>
            </w:pPr>
            <w:r>
              <w:rPr>
                <w:rFonts w:hint="eastAsia" w:ascii="方正仿宋_GB2312" w:hAnsi="方正仿宋_GB2312" w:eastAsia="方正仿宋_GB2312" w:cs="方正仿宋_GB2312"/>
                <w:b/>
                <w:bCs/>
                <w:i w:val="0"/>
                <w:iCs w:val="0"/>
                <w:color w:val="000000"/>
                <w:kern w:val="0"/>
                <w:sz w:val="32"/>
                <w:szCs w:val="32"/>
                <w:u w:val="none"/>
                <w:lang w:val="en-US" w:eastAsia="zh-CN" w:bidi="ar"/>
              </w:rPr>
              <w:t>债权清单（(湖北长资咨询服务有限公司）</w:t>
            </w:r>
          </w:p>
        </w:tc>
      </w:tr>
      <w:tr w14:paraId="3B7E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B973">
            <w:pPr>
              <w:rPr>
                <w:rFonts w:hint="eastAsia" w:ascii="方正仿宋_GB2312" w:hAnsi="方正仿宋_GB2312" w:eastAsia="方正仿宋_GB2312" w:cs="方正仿宋_GB2312"/>
                <w:b/>
                <w:bCs/>
                <w:i w:val="0"/>
                <w:iCs w:val="0"/>
                <w:color w:val="000000"/>
                <w:sz w:val="32"/>
                <w:szCs w:val="32"/>
                <w:u w:val="none"/>
              </w:rPr>
            </w:pPr>
          </w:p>
        </w:tc>
      </w:tr>
      <w:tr w14:paraId="6726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E01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2"/>
                <w:szCs w:val="32"/>
                <w:u w:val="none"/>
              </w:rPr>
            </w:pPr>
            <w:r>
              <w:rPr>
                <w:rFonts w:hint="eastAsia" w:ascii="方正仿宋_GB2312" w:hAnsi="方正仿宋_GB2312" w:eastAsia="方正仿宋_GB2312" w:cs="方正仿宋_GB2312"/>
                <w:b/>
                <w:bCs/>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0C5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2"/>
                <w:szCs w:val="32"/>
                <w:u w:val="none"/>
              </w:rPr>
            </w:pPr>
            <w:r>
              <w:rPr>
                <w:rFonts w:hint="eastAsia" w:ascii="方正仿宋_GB2312" w:hAnsi="方正仿宋_GB2312" w:eastAsia="方正仿宋_GB2312" w:cs="方正仿宋_GB2312"/>
                <w:b/>
                <w:bCs/>
                <w:i w:val="0"/>
                <w:iCs w:val="0"/>
                <w:color w:val="000000"/>
                <w:kern w:val="0"/>
                <w:sz w:val="32"/>
                <w:szCs w:val="32"/>
                <w:u w:val="none"/>
                <w:lang w:val="en-US" w:eastAsia="zh-CN" w:bidi="ar"/>
              </w:rPr>
              <w:t>债务人</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98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债权金额      单位：万元</w:t>
            </w:r>
          </w:p>
        </w:tc>
      </w:tr>
      <w:tr w14:paraId="7577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7EB9">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32"/>
                <w:szCs w:val="32"/>
                <w:u w:val="none"/>
              </w:rPr>
            </w:pPr>
            <w:r>
              <w:rPr>
                <w:rFonts w:hint="eastAsia" w:ascii="方正仿宋_GB2312" w:hAnsi="方正仿宋_GB2312" w:eastAsia="方正仿宋_GB2312" w:cs="方正仿宋_GB2312"/>
                <w:b/>
                <w:bCs/>
                <w:i w:val="0"/>
                <w:iCs w:val="0"/>
                <w:color w:val="000000"/>
                <w:kern w:val="0"/>
                <w:sz w:val="32"/>
                <w:szCs w:val="32"/>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11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武汉华源昌洪电力有限公司</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25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0.5</w:t>
            </w:r>
          </w:p>
        </w:tc>
      </w:tr>
      <w:tr w14:paraId="7139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03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合计</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CA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000000"/>
                <w:kern w:val="0"/>
                <w:sz w:val="32"/>
                <w:szCs w:val="32"/>
                <w:u w:val="none"/>
                <w:lang w:val="en-US" w:eastAsia="zh-CN" w:bidi="ar"/>
              </w:rPr>
              <w:t>0.5</w:t>
            </w:r>
          </w:p>
        </w:tc>
      </w:tr>
    </w:tbl>
    <w:p w14:paraId="60235B0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E6A785F0-A7F1-4327-AA09-B7BD4E324707}"/>
  </w:font>
  <w:font w:name="仿宋_GB2312">
    <w:panose1 w:val="02010609030101010101"/>
    <w:charset w:val="86"/>
    <w:family w:val="auto"/>
    <w:pitch w:val="default"/>
    <w:sig w:usb0="00000001" w:usb1="080E0000" w:usb2="00000000" w:usb3="00000000" w:csb0="00040000" w:csb1="00000000"/>
    <w:embedRegular r:id="rId2" w:fontKey="{FB12F012-1957-4921-8D47-3D3BC282D7E4}"/>
  </w:font>
  <w:font w:name="方正仿宋_GB2312">
    <w:panose1 w:val="02000000000000000000"/>
    <w:charset w:val="86"/>
    <w:family w:val="auto"/>
    <w:pitch w:val="default"/>
    <w:sig w:usb0="A00002BF" w:usb1="184F6CFA" w:usb2="00000012" w:usb3="00000000" w:csb0="00040001" w:csb1="00000000"/>
    <w:embedRegular r:id="rId3" w:fontKey="{E2DC26A1-32B2-4EF2-9179-EE62B78DA5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ZjA5NTRhMTE5M2UyOGIwNjQ3YTU3NWY5ZWIwMDIifQ=="/>
  </w:docVars>
  <w:rsids>
    <w:rsidRoot w:val="00000000"/>
    <w:rsid w:val="10EE23D4"/>
    <w:rsid w:val="16CD55C7"/>
    <w:rsid w:val="2A716170"/>
    <w:rsid w:val="355546CD"/>
    <w:rsid w:val="37CC2099"/>
    <w:rsid w:val="6928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291</Words>
  <Characters>303</Characters>
  <Lines>0</Lines>
  <Paragraphs>0</Paragraphs>
  <TotalTime>0</TotalTime>
  <ScaleCrop>false</ScaleCrop>
  <LinksUpToDate>false</LinksUpToDate>
  <CharactersWithSpaces>309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2024-07-24T00:40:00Z</dcterms:created>
  <dc:creator>Administrator</dc:creator>
  <cp:lastModifiedBy>ming</cp:lastModifiedBy>
  <dcterms:modified xsi:type="dcterms:W3CDTF">2024-07-24T01:21:12Z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7C33FA32772843E4AB76A2500B2637B8_13</vt:lpwstr>
  </property>
</Properties>
</file>